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Fundraising and Volunteer Agreement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Family Last Name: _______________________  Parent(s) Name: 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Students: ______________________________   ___________________________________</w:t>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______________________________________   ___________________________________</w:t>
        <w:tab/>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Fundraising Agreement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Tuition does not cover the entire cost to educate a child.  Each registered family at Christ the King Catholic School must commit to a minimum of $250 of fundraising towards school sponsored fundraisers.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Initial below:</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_______ I agree to donate and/or fundraise a minimum of $250 (per family) by May 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Any balance remaining on May 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will automatically be withdrawn from FACTS on that day.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Volunteer Agreement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Christ the King School expects involvement from each family.  This commitment is coordinated through PTO and school sponsored events.  Each family is required to provide 20 hours of service to the school.  Hours must be logged online.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Initial below: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_______ I agree that my family will complete a minimum of 20 hours of service for Christ the King Catholic School.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720" w:top="180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updated 1/2/202</w:t>
    </w:r>
    <w:r w:rsidDel="00000000" w:rsidR="00000000" w:rsidRPr="00000000">
      <w:rPr>
        <w:sz w:val="20"/>
        <w:szCs w:val="20"/>
        <w:rtl w:val="0"/>
      </w:rPr>
      <w:t xml:space="preserve">4</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leader="none" w:pos="4680"/>
        <w:tab w:val="right" w:leader="none"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105150" cy="9427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5150" cy="94278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hs1HPbMU4ajaMDuhz3llngtMUA==">CgMxLjAyCGguZ2pkZ3hzOAByITFxQkVSNDdiVUtTSGVRMFUzY3RrVFVhUnBEVUpLc0todg==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